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39" w:rsidRPr="006757E5" w:rsidRDefault="006757E5" w:rsidP="006757E5">
      <w:pPr>
        <w:spacing w:after="120"/>
        <w:ind w:left="170" w:right="170"/>
        <w:jc w:val="center"/>
        <w:rPr>
          <w:rFonts w:ascii="Times New Roman" w:hAnsi="Times New Roman" w:cs="Times New Roman"/>
          <w:b/>
        </w:rPr>
      </w:pPr>
      <w:r w:rsidRPr="006757E5">
        <w:rPr>
          <w:rFonts w:ascii="Times New Roman" w:hAnsi="Times New Roman" w:cs="Times New Roman"/>
          <w:b/>
        </w:rPr>
        <w:t>Пояснительная записка</w:t>
      </w:r>
    </w:p>
    <w:p w:rsidR="006757E5" w:rsidRPr="006757E5" w:rsidRDefault="006757E5" w:rsidP="006757E5">
      <w:pPr>
        <w:spacing w:after="120"/>
        <w:ind w:left="170" w:right="1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6757E5">
        <w:rPr>
          <w:rFonts w:ascii="Times New Roman" w:hAnsi="Times New Roman" w:cs="Times New Roman"/>
          <w:b/>
        </w:rPr>
        <w:t xml:space="preserve"> годовой бухгалтерской отчетности</w:t>
      </w:r>
    </w:p>
    <w:p w:rsidR="006757E5" w:rsidRPr="006757E5" w:rsidRDefault="006757E5" w:rsidP="006757E5">
      <w:pPr>
        <w:spacing w:after="120"/>
        <w:ind w:left="170" w:right="170"/>
        <w:jc w:val="center"/>
        <w:rPr>
          <w:rFonts w:ascii="Times New Roman" w:hAnsi="Times New Roman" w:cs="Times New Roman"/>
          <w:b/>
        </w:rPr>
      </w:pPr>
      <w:r w:rsidRPr="006757E5">
        <w:rPr>
          <w:rFonts w:ascii="Times New Roman" w:hAnsi="Times New Roman" w:cs="Times New Roman"/>
          <w:b/>
        </w:rPr>
        <w:t>ОАО «</w:t>
      </w:r>
      <w:r>
        <w:rPr>
          <w:rFonts w:ascii="Times New Roman" w:hAnsi="Times New Roman" w:cs="Times New Roman"/>
          <w:b/>
        </w:rPr>
        <w:t>Уп</w:t>
      </w:r>
      <w:r w:rsidRPr="006757E5">
        <w:rPr>
          <w:rFonts w:ascii="Times New Roman" w:hAnsi="Times New Roman" w:cs="Times New Roman"/>
          <w:b/>
        </w:rPr>
        <w:t>равляющая организация</w:t>
      </w:r>
    </w:p>
    <w:p w:rsidR="006757E5" w:rsidRPr="006757E5" w:rsidRDefault="006757E5" w:rsidP="006757E5">
      <w:pPr>
        <w:spacing w:after="120"/>
        <w:ind w:left="170" w:right="1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6757E5">
        <w:rPr>
          <w:rFonts w:ascii="Times New Roman" w:hAnsi="Times New Roman" w:cs="Times New Roman"/>
          <w:b/>
        </w:rPr>
        <w:t>ногоквартирными домами Дзержинского района»</w:t>
      </w:r>
    </w:p>
    <w:p w:rsidR="006757E5" w:rsidRDefault="006757E5" w:rsidP="006757E5">
      <w:pPr>
        <w:spacing w:after="120"/>
        <w:ind w:left="170" w:right="170"/>
        <w:jc w:val="center"/>
        <w:rPr>
          <w:rFonts w:ascii="Times New Roman" w:hAnsi="Times New Roman" w:cs="Times New Roman"/>
          <w:b/>
        </w:rPr>
      </w:pPr>
      <w:r w:rsidRPr="006757E5">
        <w:rPr>
          <w:rFonts w:ascii="Times New Roman" w:hAnsi="Times New Roman" w:cs="Times New Roman"/>
          <w:b/>
        </w:rPr>
        <w:t>За 2010 год.</w:t>
      </w:r>
    </w:p>
    <w:p w:rsidR="006757E5" w:rsidRDefault="006757E5" w:rsidP="006757E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6757E5" w:rsidRDefault="006757E5" w:rsidP="00E7361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сведения об организации</w:t>
      </w:r>
    </w:p>
    <w:p w:rsidR="006757E5" w:rsidRDefault="006757E5" w:rsidP="00E7361B">
      <w:pPr>
        <w:pStyle w:val="a4"/>
        <w:ind w:firstLine="708"/>
      </w:pPr>
      <w:r w:rsidRPr="006757E5">
        <w:t>Открытое акционерное общество</w:t>
      </w:r>
      <w:r w:rsidR="00CE3939">
        <w:t xml:space="preserve"> «</w:t>
      </w:r>
      <w:r>
        <w:t xml:space="preserve">Управляющая организация многоквартирными домами Дзержинского </w:t>
      </w:r>
      <w:proofErr w:type="spellStart"/>
      <w:r>
        <w:t>раона</w:t>
      </w:r>
      <w:proofErr w:type="spellEnd"/>
      <w:r>
        <w:t xml:space="preserve">» было создано на основании постановления мэра </w:t>
      </w:r>
      <w:proofErr w:type="spellStart"/>
      <w:r>
        <w:t>г</w:t>
      </w:r>
      <w:proofErr w:type="gramStart"/>
      <w:r>
        <w:t>.Я</w:t>
      </w:r>
      <w:proofErr w:type="gramEnd"/>
      <w:r>
        <w:t>рославля</w:t>
      </w:r>
      <w:proofErr w:type="spellEnd"/>
      <w:r>
        <w:t xml:space="preserve"> от 15.10.2007 года № 3344.</w:t>
      </w:r>
    </w:p>
    <w:p w:rsidR="006757E5" w:rsidRDefault="006757E5" w:rsidP="00E7361B">
      <w:pPr>
        <w:pStyle w:val="a4"/>
        <w:ind w:firstLine="708"/>
      </w:pPr>
      <w:r>
        <w:t>Зарегистрировано в инспекции Федеральной налоговой службы по Дзержинскому району г.</w:t>
      </w:r>
      <w:r w:rsidR="000048DB">
        <w:t xml:space="preserve"> </w:t>
      </w:r>
      <w:r>
        <w:t>Ярославля 01.11.2007 года</w:t>
      </w:r>
      <w:proofErr w:type="gramStart"/>
      <w:r>
        <w:t xml:space="preserve"> ,</w:t>
      </w:r>
      <w:proofErr w:type="gramEnd"/>
      <w:r>
        <w:t xml:space="preserve"> ОГРН № 1077602005216.</w:t>
      </w:r>
    </w:p>
    <w:p w:rsidR="006757E5" w:rsidRDefault="006757E5" w:rsidP="00E7361B">
      <w:pPr>
        <w:pStyle w:val="a4"/>
        <w:ind w:firstLine="708"/>
      </w:pPr>
      <w:r>
        <w:t xml:space="preserve">Юридический адрес и местонахождение общества: </w:t>
      </w:r>
      <w:r w:rsidR="00CE3939">
        <w:t>1</w:t>
      </w:r>
      <w:r>
        <w:t>50044,г</w:t>
      </w:r>
      <w:proofErr w:type="gramStart"/>
      <w:r>
        <w:t>.Я</w:t>
      </w:r>
      <w:proofErr w:type="gramEnd"/>
      <w:r>
        <w:t>рославль,ул.Урицкого,дом 38а.</w:t>
      </w:r>
    </w:p>
    <w:p w:rsidR="006757E5" w:rsidRDefault="00CE3939" w:rsidP="00E7361B">
      <w:pPr>
        <w:pStyle w:val="a4"/>
        <w:ind w:firstLine="708"/>
      </w:pPr>
      <w:r>
        <w:t>ОАО «Управляющая организация многоквартирными домами Дзержинского района» является коммерческой организацией, уставной капитал которой разделен на определенное число акций.</w:t>
      </w:r>
    </w:p>
    <w:p w:rsidR="00CE3939" w:rsidRDefault="00CE3939" w:rsidP="00E7361B">
      <w:pPr>
        <w:pStyle w:val="a4"/>
        <w:ind w:firstLine="708"/>
      </w:pPr>
      <w:r>
        <w:t>Исполнительный орган обществ</w:t>
      </w:r>
      <w:proofErr w:type="gramStart"/>
      <w:r>
        <w:t>а-</w:t>
      </w:r>
      <w:proofErr w:type="gramEnd"/>
      <w:r>
        <w:t xml:space="preserve"> директор  </w:t>
      </w:r>
      <w:proofErr w:type="spellStart"/>
      <w:r>
        <w:t>Кисельников</w:t>
      </w:r>
      <w:proofErr w:type="spellEnd"/>
      <w:r>
        <w:t xml:space="preserve">  Владимир Анатольевич.</w:t>
      </w:r>
    </w:p>
    <w:p w:rsidR="00CE3939" w:rsidRDefault="00CE3939" w:rsidP="00E7361B">
      <w:pPr>
        <w:pStyle w:val="a4"/>
        <w:ind w:firstLine="708"/>
      </w:pPr>
      <w:r>
        <w:t>Орган</w:t>
      </w:r>
      <w:proofErr w:type="gramStart"/>
      <w:r>
        <w:t xml:space="preserve"> ,</w:t>
      </w:r>
      <w:proofErr w:type="gramEnd"/>
      <w:r>
        <w:t xml:space="preserve"> осуществляющий общее руководство деятельностью общества, за исключением вопросов, отнесенных к компетенции общего собрания акционеров- совет директоров в составе   </w:t>
      </w:r>
      <w:r w:rsidR="00C847BB">
        <w:t>7</w:t>
      </w:r>
      <w:r>
        <w:t xml:space="preserve">   человек.</w:t>
      </w:r>
    </w:p>
    <w:p w:rsidR="00CE3939" w:rsidRDefault="00CE3939" w:rsidP="00E7361B">
      <w:pPr>
        <w:pStyle w:val="a4"/>
      </w:pPr>
      <w:r>
        <w:t>Состав совета директоров:</w:t>
      </w:r>
    </w:p>
    <w:p w:rsidR="00C847BB" w:rsidRDefault="00C847BB" w:rsidP="00E7361B">
      <w:pPr>
        <w:pStyle w:val="a4"/>
      </w:pPr>
      <w:r>
        <w:t>Степанов Н. Д. – председатель Совета директоров;</w:t>
      </w:r>
    </w:p>
    <w:p w:rsidR="00C847BB" w:rsidRDefault="00C847BB" w:rsidP="00E7361B">
      <w:pPr>
        <w:pStyle w:val="a4"/>
      </w:pPr>
      <w:r>
        <w:t xml:space="preserve"> </w:t>
      </w:r>
      <w:proofErr w:type="spellStart"/>
      <w:r>
        <w:t>Курзаев</w:t>
      </w:r>
      <w:proofErr w:type="spellEnd"/>
      <w:r>
        <w:t xml:space="preserve"> П.А. – член Совета директоров;</w:t>
      </w:r>
    </w:p>
    <w:p w:rsidR="00C847BB" w:rsidRDefault="00C847BB" w:rsidP="00E7361B">
      <w:pPr>
        <w:pStyle w:val="a4"/>
      </w:pPr>
      <w:proofErr w:type="spellStart"/>
      <w:r>
        <w:t>Лавреньтьев</w:t>
      </w:r>
      <w:proofErr w:type="spellEnd"/>
      <w:r>
        <w:t xml:space="preserve"> А.А.-</w:t>
      </w:r>
      <w:r w:rsidRPr="00C847BB">
        <w:t xml:space="preserve"> </w:t>
      </w:r>
      <w:r>
        <w:t>член Совета директоров;</w:t>
      </w:r>
    </w:p>
    <w:p w:rsidR="00C847BB" w:rsidRDefault="00C847BB" w:rsidP="00E7361B">
      <w:pPr>
        <w:pStyle w:val="a4"/>
      </w:pPr>
      <w:proofErr w:type="spellStart"/>
      <w:r>
        <w:t>Трубицын</w:t>
      </w:r>
      <w:proofErr w:type="spellEnd"/>
      <w:r>
        <w:t xml:space="preserve"> К.А.- член Совета директоров;</w:t>
      </w:r>
    </w:p>
    <w:p w:rsidR="00C847BB" w:rsidRDefault="00C847BB" w:rsidP="00E7361B">
      <w:pPr>
        <w:pStyle w:val="a4"/>
      </w:pPr>
      <w:r>
        <w:t>Цветков М.М. -</w:t>
      </w:r>
      <w:r w:rsidRPr="00C847BB">
        <w:t xml:space="preserve"> </w:t>
      </w:r>
      <w:r>
        <w:t>член Совета директоров;</w:t>
      </w:r>
    </w:p>
    <w:p w:rsidR="00C847BB" w:rsidRDefault="00C847BB" w:rsidP="00E7361B">
      <w:pPr>
        <w:pStyle w:val="a4"/>
      </w:pPr>
      <w:proofErr w:type="spellStart"/>
      <w:r>
        <w:t>Канашкин</w:t>
      </w:r>
      <w:proofErr w:type="spellEnd"/>
      <w:r>
        <w:t xml:space="preserve"> В.Ю.-</w:t>
      </w:r>
      <w:r w:rsidRPr="00C847BB">
        <w:t xml:space="preserve"> </w:t>
      </w:r>
      <w:r>
        <w:t>член Совета директоров</w:t>
      </w:r>
    </w:p>
    <w:p w:rsidR="00C847BB" w:rsidRDefault="00C847BB" w:rsidP="00E7361B">
      <w:pPr>
        <w:pStyle w:val="a4"/>
      </w:pPr>
      <w:proofErr w:type="spellStart"/>
      <w:r>
        <w:t>Кияров</w:t>
      </w:r>
      <w:proofErr w:type="spellEnd"/>
      <w:r>
        <w:t xml:space="preserve"> К.В.- член Совета директоров</w:t>
      </w:r>
    </w:p>
    <w:p w:rsidR="00BC5D9F" w:rsidRDefault="00CE3939" w:rsidP="00E7361B">
      <w:pPr>
        <w:pStyle w:val="a4"/>
        <w:ind w:firstLine="708"/>
      </w:pPr>
      <w:r>
        <w:t>Уставной капитал общества на момент учре</w:t>
      </w:r>
      <w:r w:rsidR="00BC5D9F">
        <w:t>ждения составляет 313000 рублей. Уставной капитал состоит из номинальной стоимости 313 штук обыкновенных акций  общества. Номинальная стоимость всех обыкновенных акций одинакова и составляет 1000 рублей за одну акцию.</w:t>
      </w:r>
    </w:p>
    <w:p w:rsidR="00BC5D9F" w:rsidRDefault="00BC5D9F" w:rsidP="00E7361B">
      <w:pPr>
        <w:pStyle w:val="a4"/>
        <w:ind w:firstLine="708"/>
      </w:pPr>
      <w:r>
        <w:t>Учредительным документом является Устав</w:t>
      </w:r>
      <w:proofErr w:type="gramStart"/>
      <w:r>
        <w:t xml:space="preserve"> .</w:t>
      </w:r>
      <w:proofErr w:type="gramEnd"/>
      <w:r>
        <w:t>Требования Устава обязательны для исполнения всеми органами общества и его акционерами.</w:t>
      </w:r>
    </w:p>
    <w:p w:rsidR="00BC5D9F" w:rsidRDefault="00BC5D9F" w:rsidP="00E7361B">
      <w:pPr>
        <w:pStyle w:val="a4"/>
        <w:ind w:firstLine="708"/>
      </w:pPr>
      <w:r>
        <w:t>Общество имеет в собственности обособленно имущество, учитываемое на его самостоятельном балансе</w:t>
      </w:r>
      <w:proofErr w:type="gramStart"/>
      <w:r>
        <w:t xml:space="preserve"> ,</w:t>
      </w:r>
      <w:proofErr w:type="gramEnd"/>
      <w:r>
        <w:t xml:space="preserve"> свой расчетный счет, круглую печать, содержащую полное фирменное наименование общества и указание на местонахождение общества.</w:t>
      </w:r>
    </w:p>
    <w:p w:rsidR="00BC5D9F" w:rsidRDefault="00BC5D9F" w:rsidP="00E7361B">
      <w:pPr>
        <w:pStyle w:val="a4"/>
        <w:ind w:firstLine="708"/>
      </w:pPr>
      <w:r>
        <w:t xml:space="preserve">Основной вид деятельности: осуществление управленческих функций для поддержания в надлежащем состоянии жилого и нежилого фонда в соответствии с требованиями нормативно-правовых актов, регламентирующих отношения в сфере ЖКХ </w:t>
      </w:r>
      <w:proofErr w:type="gramStart"/>
      <w:r w:rsidR="006E74A3">
        <w:t>;о</w:t>
      </w:r>
      <w:proofErr w:type="gramEnd"/>
      <w:r w:rsidR="006E74A3">
        <w:t>беспечение контроля предоставления потребителям жилищно-коммунальных услуг  и их своевременной оплаты.</w:t>
      </w:r>
    </w:p>
    <w:p w:rsidR="006E74A3" w:rsidRDefault="006E74A3" w:rsidP="00E7361B">
      <w:pPr>
        <w:pStyle w:val="a4"/>
        <w:ind w:firstLine="708"/>
      </w:pPr>
      <w:r>
        <w:t>В структуру общества входят семь линейных участков</w:t>
      </w:r>
      <w:proofErr w:type="gramStart"/>
      <w:r>
        <w:t xml:space="preserve"> ,</w:t>
      </w:r>
      <w:proofErr w:type="gramEnd"/>
      <w:r>
        <w:t xml:space="preserve"> которые осуществляют начисление и сбор платежей за  жилищно-коммунальные услуги , контролируют своевременность и качество предоставляемых услуг , оформляют документы для регистрации граждан в паспортно-визовой службе города.</w:t>
      </w:r>
    </w:p>
    <w:p w:rsidR="00F85E89" w:rsidRDefault="00F85E89" w:rsidP="00E7361B">
      <w:pPr>
        <w:pStyle w:val="a4"/>
        <w:ind w:firstLine="708"/>
      </w:pPr>
    </w:p>
    <w:p w:rsidR="00F85E89" w:rsidRDefault="00F85E89" w:rsidP="00E7361B">
      <w:pPr>
        <w:pStyle w:val="a4"/>
        <w:ind w:firstLine="708"/>
      </w:pPr>
    </w:p>
    <w:p w:rsidR="006E74A3" w:rsidRDefault="006E74A3" w:rsidP="00E7361B">
      <w:pPr>
        <w:pStyle w:val="a4"/>
        <w:jc w:val="center"/>
        <w:rPr>
          <w:b/>
        </w:rPr>
      </w:pPr>
      <w:r w:rsidRPr="006E74A3">
        <w:rPr>
          <w:b/>
        </w:rPr>
        <w:lastRenderedPageBreak/>
        <w:t>Информация об учетной политике</w:t>
      </w:r>
    </w:p>
    <w:p w:rsidR="00F85E89" w:rsidRDefault="00F85E89" w:rsidP="00E7361B">
      <w:pPr>
        <w:pStyle w:val="a4"/>
        <w:jc w:val="center"/>
        <w:rPr>
          <w:b/>
        </w:rPr>
      </w:pPr>
    </w:p>
    <w:p w:rsidR="00662E5F" w:rsidRDefault="00662E5F" w:rsidP="00E7361B">
      <w:pPr>
        <w:pStyle w:val="a4"/>
        <w:ind w:firstLine="708"/>
      </w:pPr>
      <w:r w:rsidRPr="00662E5F">
        <w:t>Бухга</w:t>
      </w:r>
      <w:r>
        <w:t>лтерская отчетность сформирована организацией, исходя из действующих в Российской Федерации правил, бухгалтерского учета и отчетности.</w:t>
      </w:r>
    </w:p>
    <w:p w:rsidR="00662E5F" w:rsidRDefault="00662E5F" w:rsidP="00E7361B">
      <w:pPr>
        <w:pStyle w:val="a4"/>
        <w:ind w:firstLine="708"/>
      </w:pPr>
      <w:r>
        <w:t>Первоначальной стоимостью основного средс</w:t>
      </w:r>
      <w:r w:rsidR="00EA3DE2">
        <w:t>т</w:t>
      </w:r>
      <w:r>
        <w:t xml:space="preserve">ва  и нематериального актива является сумма фактических затрат организации </w:t>
      </w:r>
      <w:r w:rsidR="00EA3DE2">
        <w:t>на приобретение, сооружение и изготовление объектов</w:t>
      </w:r>
      <w:proofErr w:type="gramStart"/>
      <w:r w:rsidR="00EA3DE2">
        <w:t xml:space="preserve"> .</w:t>
      </w:r>
      <w:proofErr w:type="gramEnd"/>
      <w:r w:rsidR="00EA3DE2">
        <w:t xml:space="preserve"> Стоимость всех основных средств  погашается путем начисления амортизации линейным способом в соответствии с Постановлением Правительства РФ № 1 от 01.01.2002г. При приобретении объектов основных средств, бывших в употреблении , определять норму амортизации по этому имуществу с учетом срока полезного использования, уменьшенного на количество ле</w:t>
      </w:r>
      <w:proofErr w:type="gramStart"/>
      <w:r w:rsidR="00EA3DE2">
        <w:t>т(</w:t>
      </w:r>
      <w:proofErr w:type="gramEnd"/>
      <w:r w:rsidR="00EA3DE2">
        <w:t>месяцев) эксплуатации данного имущества предыдущими собственниками.</w:t>
      </w:r>
    </w:p>
    <w:p w:rsidR="00EA3DE2" w:rsidRDefault="00EA3DE2" w:rsidP="00E7361B">
      <w:pPr>
        <w:pStyle w:val="a4"/>
      </w:pPr>
      <w:r>
        <w:t>Активы</w:t>
      </w:r>
      <w:proofErr w:type="gramStart"/>
      <w:r>
        <w:t xml:space="preserve"> ,</w:t>
      </w:r>
      <w:proofErr w:type="gramEnd"/>
      <w:r>
        <w:t xml:space="preserve"> сроком службы более одного года и стоимостью до 20000 рублей относятся в бухгалтерском и налоговом учете на материально-производственные запасы. В целях сохранности этих объектов учет их обеспечивается материально-ответственными лицами на местах их  эксплуатации.</w:t>
      </w:r>
    </w:p>
    <w:p w:rsidR="000048DB" w:rsidRDefault="000048DB" w:rsidP="00E7361B">
      <w:pPr>
        <w:pStyle w:val="a4"/>
        <w:ind w:firstLine="708"/>
      </w:pPr>
      <w:r>
        <w:t>В отчетном периоде общество осуществляло списание стоимости материально-производственных запасов по средней себестоимости единицы запасов.</w:t>
      </w:r>
    </w:p>
    <w:p w:rsidR="000048DB" w:rsidRDefault="000048DB" w:rsidP="00E7361B">
      <w:pPr>
        <w:pStyle w:val="a4"/>
        <w:ind w:firstLine="708"/>
      </w:pPr>
      <w:r>
        <w:t>Выручкой от реализации работ и услуг, произведенных в результате уставной деятельности, являются средства, начисленные за ЖКУ жилого и нежилого помещения, прочие доходы. Льготы, предоставляемые населению за ЖКУ согласно Постановлению правительства и местных органов власти, относятся к  внереализационным доходам и поступают за счет средств бюджета.</w:t>
      </w:r>
    </w:p>
    <w:p w:rsidR="000048DB" w:rsidRDefault="000048DB" w:rsidP="00E7361B">
      <w:pPr>
        <w:pStyle w:val="a4"/>
        <w:ind w:firstLine="708"/>
      </w:pPr>
      <w:r>
        <w:t>При возникновении расхождений при определении доходов и расходов в налоговом и бухгалтерском учете применяется ПБУ -18/02.</w:t>
      </w:r>
    </w:p>
    <w:p w:rsidR="00E7361B" w:rsidRDefault="00E7361B" w:rsidP="00E7361B">
      <w:pPr>
        <w:pStyle w:val="a4"/>
        <w:ind w:firstLine="708"/>
      </w:pPr>
    </w:p>
    <w:p w:rsidR="0064374D" w:rsidRDefault="0064374D" w:rsidP="00E7361B">
      <w:pPr>
        <w:pStyle w:val="a4"/>
        <w:jc w:val="center"/>
        <w:rPr>
          <w:b/>
        </w:rPr>
      </w:pPr>
      <w:r w:rsidRPr="0064374D">
        <w:rPr>
          <w:b/>
        </w:rPr>
        <w:t>Основные показатели финансовой деятельности организации.</w:t>
      </w:r>
    </w:p>
    <w:p w:rsidR="00E7361B" w:rsidRDefault="00E7361B" w:rsidP="00E7361B">
      <w:pPr>
        <w:pStyle w:val="a4"/>
        <w:jc w:val="center"/>
        <w:rPr>
          <w:b/>
        </w:rPr>
      </w:pPr>
    </w:p>
    <w:p w:rsidR="0064374D" w:rsidRDefault="0064374D" w:rsidP="00E7361B">
      <w:pPr>
        <w:pStyle w:val="a4"/>
        <w:ind w:firstLine="708"/>
      </w:pPr>
      <w:r>
        <w:t>На 1 января 2011 года в управлении ОАО «Управдом Дзержинского района» находится 6</w:t>
      </w:r>
      <w:r w:rsidR="008D53BF">
        <w:t>23</w:t>
      </w:r>
      <w:r>
        <w:t xml:space="preserve"> дом</w:t>
      </w:r>
      <w:r w:rsidR="008D53BF">
        <w:t xml:space="preserve">а </w:t>
      </w:r>
      <w:r>
        <w:t>общей площадью 2 665 624 м</w:t>
      </w:r>
      <w:proofErr w:type="gramStart"/>
      <w:r>
        <w:t>2</w:t>
      </w:r>
      <w:proofErr w:type="gramEnd"/>
      <w:r>
        <w:t>.</w:t>
      </w:r>
    </w:p>
    <w:p w:rsidR="0064374D" w:rsidRDefault="0064374D" w:rsidP="00E7361B">
      <w:pPr>
        <w:pStyle w:val="a4"/>
        <w:ind w:firstLine="708"/>
      </w:pPr>
      <w:r>
        <w:t>Изменений в величине уставного капитала в 2010 году нет.</w:t>
      </w:r>
    </w:p>
    <w:p w:rsidR="0064374D" w:rsidRDefault="0064374D" w:rsidP="00E7361B">
      <w:pPr>
        <w:pStyle w:val="a4"/>
        <w:ind w:firstLine="708"/>
      </w:pPr>
      <w:r>
        <w:t xml:space="preserve">Основные средства на 01.01.10г. составляли  1255 тыс. руб., на 01.01.2011 г. – 1308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Стоимость увеличена за счет приобретения  1-го копир-принтер-сканера, 1-ой </w:t>
      </w:r>
      <w:proofErr w:type="spellStart"/>
      <w:r>
        <w:t>кофемашины</w:t>
      </w:r>
      <w:proofErr w:type="spellEnd"/>
      <w:r>
        <w:t>.</w:t>
      </w:r>
    </w:p>
    <w:p w:rsidR="0064374D" w:rsidRDefault="00EB030E" w:rsidP="00E7361B">
      <w:pPr>
        <w:pStyle w:val="a4"/>
        <w:ind w:firstLine="708"/>
      </w:pPr>
      <w:r>
        <w:t xml:space="preserve">Дебиторская задолженность на 01.01.2011 года составила 295 475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Из них задолженность населения за ЖКУ – 245 470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задолженность арендаторов за коммунальные услуги – 12 002 </w:t>
      </w:r>
      <w:proofErr w:type="spellStart"/>
      <w:r>
        <w:t>тыс.руб</w:t>
      </w:r>
      <w:proofErr w:type="spellEnd"/>
      <w:r>
        <w:t>.</w:t>
      </w:r>
    </w:p>
    <w:p w:rsidR="008F5A0F" w:rsidRPr="00E255A6" w:rsidRDefault="00EB030E" w:rsidP="00E7361B">
      <w:pPr>
        <w:pStyle w:val="a4"/>
        <w:ind w:firstLine="708"/>
      </w:pPr>
      <w:r>
        <w:t xml:space="preserve">Кроме того, имеется задолженность за ИФНС Дзержинского района </w:t>
      </w:r>
      <w:proofErr w:type="spellStart"/>
      <w:r>
        <w:t>г</w:t>
      </w:r>
      <w:proofErr w:type="gramStart"/>
      <w:r>
        <w:t>.Я</w:t>
      </w:r>
      <w:proofErr w:type="gramEnd"/>
      <w:r>
        <w:t>рославля</w:t>
      </w:r>
      <w:proofErr w:type="spellEnd"/>
      <w:r>
        <w:t xml:space="preserve"> по </w:t>
      </w:r>
      <w:r w:rsidR="00C847BB">
        <w:t xml:space="preserve">  </w:t>
      </w:r>
      <w:r>
        <w:t>возмещению налога на добавленную стоимость в сумме 761,7 тыс.</w:t>
      </w:r>
      <w:r w:rsidR="008F5A0F">
        <w:t xml:space="preserve"> </w:t>
      </w:r>
      <w:r>
        <w:t xml:space="preserve">руб., в связи с тем, что </w:t>
      </w:r>
      <w:r w:rsidR="008F5A0F">
        <w:t>согласно ст.149 ч.3 пп.29,30</w:t>
      </w:r>
      <w:r w:rsidR="00E255A6">
        <w:t xml:space="preserve"> освобождены от налогообложения :</w:t>
      </w:r>
      <w:r w:rsidR="008F5A0F">
        <w:rPr>
          <w:rFonts w:ascii="Calibri" w:hAnsi="Calibri" w:cs="Calibri"/>
        </w:rPr>
        <w:t xml:space="preserve"> </w:t>
      </w:r>
      <w:r w:rsidR="008F5A0F" w:rsidRPr="00E255A6">
        <w:t>реализация коммунальных услуг, предоставляемых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услуги, при условии приобретения коммунальных услуг указанными налогоплательщиками у организаций коммунального комплекса, поставщиков электрической энергии и газоснабжающих организаций;</w:t>
      </w:r>
    </w:p>
    <w:p w:rsidR="008F5A0F" w:rsidRPr="00E255A6" w:rsidRDefault="008F5A0F" w:rsidP="00E7361B">
      <w:pPr>
        <w:pStyle w:val="a4"/>
      </w:pPr>
      <w:proofErr w:type="gramStart"/>
      <w:r w:rsidRPr="00E255A6">
        <w:t>реализация работ (услуг) по содержанию и ремонту общего имущества в многоквартирном доме, выполняемых (оказываемых)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услуги, при условии приобретения работ (услуг) по содержанию и ремонту общего имущества в многоквартирном</w:t>
      </w:r>
      <w:proofErr w:type="gramEnd"/>
      <w:r w:rsidRPr="00E255A6">
        <w:t xml:space="preserve"> </w:t>
      </w:r>
      <w:proofErr w:type="gramStart"/>
      <w:r w:rsidRPr="00E255A6">
        <w:t>доме</w:t>
      </w:r>
      <w:proofErr w:type="gramEnd"/>
      <w:r w:rsidRPr="00E255A6">
        <w:t xml:space="preserve"> указанными налогоплательщиками у организаций и индивидуальных предпринимателей, непосредственно выполняющих (оказывающих) данные работы (услуги);</w:t>
      </w:r>
    </w:p>
    <w:p w:rsidR="00E255A6" w:rsidRDefault="00E255A6" w:rsidP="00E7361B">
      <w:pPr>
        <w:pStyle w:val="a4"/>
        <w:ind w:firstLine="708"/>
      </w:pPr>
      <w:r>
        <w:lastRenderedPageBreak/>
        <w:t xml:space="preserve">Кредиторская задолженность на 01.01.2011 года составляет  255 531 тыс. руб., в </w:t>
      </w:r>
      <w:proofErr w:type="spellStart"/>
      <w:r>
        <w:t>т.ч</w:t>
      </w:r>
      <w:proofErr w:type="spellEnd"/>
      <w:r>
        <w:t>. перед поставщиками и подрядчиками – 223 323 тыс. руб. Увеличение кредиторской задолженности обусловлено неплатежами населения.</w:t>
      </w:r>
    </w:p>
    <w:p w:rsidR="00E255A6" w:rsidRDefault="00E255A6" w:rsidP="00E7361B">
      <w:pPr>
        <w:pStyle w:val="a4"/>
        <w:ind w:firstLine="708"/>
      </w:pPr>
      <w:r>
        <w:t xml:space="preserve">Остаток денежных средств на расчетных счетах на 01.01.2011 </w:t>
      </w:r>
      <w:r w:rsidR="00851D78">
        <w:t xml:space="preserve">года – 19491 </w:t>
      </w:r>
      <w:proofErr w:type="spellStart"/>
      <w:r w:rsidR="00851D78">
        <w:t>тыс</w:t>
      </w:r>
      <w:proofErr w:type="gramStart"/>
      <w:r w:rsidR="00851D78">
        <w:t>.р</w:t>
      </w:r>
      <w:proofErr w:type="gramEnd"/>
      <w:r w:rsidR="00851D78">
        <w:t>уб</w:t>
      </w:r>
      <w:proofErr w:type="spellEnd"/>
      <w:r w:rsidR="00851D78">
        <w:t>.</w:t>
      </w:r>
    </w:p>
    <w:p w:rsidR="00851D78" w:rsidRDefault="00851D78" w:rsidP="00E7361B">
      <w:pPr>
        <w:pStyle w:val="a4"/>
        <w:ind w:firstLine="708"/>
      </w:pPr>
      <w:r>
        <w:t xml:space="preserve">Выручка в 2010 году составила -  1452 728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себестоимость – 1 345 013 </w:t>
      </w:r>
      <w:proofErr w:type="spellStart"/>
      <w:r>
        <w:t>тыс.руб</w:t>
      </w:r>
      <w:proofErr w:type="spellEnd"/>
      <w:r>
        <w:t xml:space="preserve">., управленческие расходы – 41 588 </w:t>
      </w:r>
      <w:proofErr w:type="spellStart"/>
      <w:r>
        <w:t>тыс.руб</w:t>
      </w:r>
      <w:proofErr w:type="spellEnd"/>
      <w:r>
        <w:t>.</w:t>
      </w:r>
    </w:p>
    <w:p w:rsidR="00E7361B" w:rsidRDefault="00E7361B" w:rsidP="00E7361B">
      <w:pPr>
        <w:pStyle w:val="a4"/>
        <w:ind w:firstLine="708"/>
      </w:pPr>
    </w:p>
    <w:p w:rsidR="00ED0E9D" w:rsidRDefault="00ED0E9D" w:rsidP="00E7361B">
      <w:pPr>
        <w:pStyle w:val="a4"/>
        <w:jc w:val="center"/>
        <w:rPr>
          <w:b/>
        </w:rPr>
      </w:pPr>
      <w:r w:rsidRPr="00ED0E9D">
        <w:rPr>
          <w:b/>
        </w:rPr>
        <w:t>Программа деятельности общества на 2010 год.</w:t>
      </w:r>
    </w:p>
    <w:p w:rsidR="00ED0E9D" w:rsidRDefault="00ED0E9D" w:rsidP="00E7361B">
      <w:pPr>
        <w:pStyle w:val="a4"/>
        <w:rPr>
          <w:b/>
        </w:rPr>
      </w:pPr>
    </w:p>
    <w:p w:rsidR="00ED0E9D" w:rsidRDefault="00ED0E9D" w:rsidP="00E7361B">
      <w:pPr>
        <w:pStyle w:val="a4"/>
        <w:ind w:firstLine="708"/>
      </w:pPr>
      <w:r w:rsidRPr="00ED0E9D">
        <w:t>Осу</w:t>
      </w:r>
      <w:r>
        <w:t>ществление мероприятий, направленных на снижение задолженности за жилищно-коммунальные услуги;</w:t>
      </w:r>
    </w:p>
    <w:p w:rsidR="00ED0E9D" w:rsidRDefault="00ED0E9D" w:rsidP="00E7361B">
      <w:pPr>
        <w:pStyle w:val="a4"/>
        <w:ind w:firstLine="708"/>
      </w:pPr>
      <w:r>
        <w:t>Заключение договоров на управление многоквартирными домами;</w:t>
      </w:r>
    </w:p>
    <w:p w:rsidR="00ED0E9D" w:rsidRDefault="00ED0E9D" w:rsidP="00E7361B">
      <w:pPr>
        <w:pStyle w:val="a4"/>
        <w:ind w:firstLine="708"/>
      </w:pPr>
      <w:r>
        <w:t>Контроль выполнения текущего и капитального ремонтов;</w:t>
      </w:r>
    </w:p>
    <w:p w:rsidR="00ED0E9D" w:rsidRDefault="00ED0E9D" w:rsidP="00E7361B">
      <w:pPr>
        <w:pStyle w:val="a4"/>
        <w:ind w:firstLine="708"/>
      </w:pPr>
      <w:r>
        <w:t>Расширение перечня оказываемых платных услуг с целью получения прибыли.</w:t>
      </w:r>
    </w:p>
    <w:p w:rsidR="00ED0E9D" w:rsidRDefault="00ED0E9D" w:rsidP="00E7361B">
      <w:pPr>
        <w:pStyle w:val="a4"/>
      </w:pPr>
    </w:p>
    <w:p w:rsidR="00ED0E9D" w:rsidRDefault="00ED0E9D" w:rsidP="00E7361B">
      <w:pPr>
        <w:pStyle w:val="a4"/>
      </w:pPr>
    </w:p>
    <w:p w:rsidR="00ED0E9D" w:rsidRDefault="00ED0E9D" w:rsidP="00C847BB">
      <w:pPr>
        <w:pStyle w:val="a3"/>
        <w:spacing w:before="100" w:beforeAutospacing="1" w:after="100" w:afterAutospacing="1"/>
        <w:ind w:left="1776"/>
        <w:jc w:val="both"/>
        <w:rPr>
          <w:rFonts w:ascii="Times New Roman" w:hAnsi="Times New Roman" w:cs="Times New Roman"/>
        </w:rPr>
      </w:pPr>
    </w:p>
    <w:p w:rsidR="00ED0E9D" w:rsidRDefault="00ED0E9D" w:rsidP="00C847BB">
      <w:pPr>
        <w:pStyle w:val="a3"/>
        <w:spacing w:before="100" w:beforeAutospacing="1" w:after="100" w:afterAutospacing="1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В.А.Кисельников</w:t>
      </w:r>
      <w:proofErr w:type="spellEnd"/>
    </w:p>
    <w:p w:rsidR="00ED0E9D" w:rsidRDefault="00ED0E9D" w:rsidP="00C847BB">
      <w:pPr>
        <w:pStyle w:val="a3"/>
        <w:spacing w:before="100" w:beforeAutospacing="1" w:after="100" w:afterAutospacing="1"/>
        <w:ind w:left="1776"/>
        <w:jc w:val="both"/>
        <w:rPr>
          <w:rFonts w:ascii="Times New Roman" w:hAnsi="Times New Roman" w:cs="Times New Roman"/>
        </w:rPr>
      </w:pPr>
    </w:p>
    <w:p w:rsidR="00E255A6" w:rsidRPr="00ED0E9D" w:rsidRDefault="00E255A6" w:rsidP="00C847BB">
      <w:pPr>
        <w:spacing w:before="100" w:beforeAutospacing="1" w:after="100" w:afterAutospacing="1"/>
        <w:ind w:left="708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E3939" w:rsidRDefault="00BC5D9F" w:rsidP="00C847BB">
      <w:pPr>
        <w:spacing w:before="100" w:beforeAutospacing="1" w:after="100" w:afterAutospacing="1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3939" w:rsidRDefault="00CE3939" w:rsidP="00C847BB">
      <w:pPr>
        <w:spacing w:before="100" w:beforeAutospacing="1" w:after="100" w:afterAutospacing="1"/>
        <w:ind w:left="708" w:firstLine="708"/>
        <w:jc w:val="both"/>
        <w:rPr>
          <w:rFonts w:ascii="Times New Roman" w:hAnsi="Times New Roman" w:cs="Times New Roman"/>
        </w:rPr>
      </w:pPr>
    </w:p>
    <w:p w:rsidR="00CE3939" w:rsidRDefault="00CE3939" w:rsidP="00C847BB">
      <w:pPr>
        <w:spacing w:before="100" w:beforeAutospacing="1" w:after="100" w:afterAutospacing="1"/>
        <w:ind w:left="708" w:firstLine="708"/>
        <w:jc w:val="both"/>
        <w:rPr>
          <w:rFonts w:ascii="Times New Roman" w:hAnsi="Times New Roman" w:cs="Times New Roman"/>
        </w:rPr>
      </w:pPr>
    </w:p>
    <w:p w:rsidR="00CE3939" w:rsidRDefault="00CE3939" w:rsidP="00C847BB">
      <w:pPr>
        <w:spacing w:before="100" w:beforeAutospacing="1" w:after="100" w:afterAutospacing="1"/>
        <w:ind w:left="708" w:firstLine="708"/>
        <w:jc w:val="both"/>
        <w:rPr>
          <w:rFonts w:ascii="Times New Roman" w:hAnsi="Times New Roman" w:cs="Times New Roman"/>
        </w:rPr>
      </w:pPr>
    </w:p>
    <w:p w:rsidR="00CE3939" w:rsidRDefault="00CE3939" w:rsidP="00C847BB">
      <w:pPr>
        <w:spacing w:before="100" w:beforeAutospacing="1" w:after="100" w:afterAutospacing="1"/>
        <w:ind w:left="708" w:firstLine="708"/>
        <w:jc w:val="both"/>
        <w:rPr>
          <w:rFonts w:ascii="Times New Roman" w:hAnsi="Times New Roman" w:cs="Times New Roman"/>
        </w:rPr>
      </w:pPr>
    </w:p>
    <w:p w:rsidR="006757E5" w:rsidRPr="006757E5" w:rsidRDefault="006757E5" w:rsidP="006757E5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6757E5" w:rsidRPr="0067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0404"/>
    <w:multiLevelType w:val="hybridMultilevel"/>
    <w:tmpl w:val="55BECBC4"/>
    <w:lvl w:ilvl="0" w:tplc="A0403D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E5"/>
    <w:rsid w:val="000048DB"/>
    <w:rsid w:val="00311E39"/>
    <w:rsid w:val="00627104"/>
    <w:rsid w:val="0064374D"/>
    <w:rsid w:val="00662E5F"/>
    <w:rsid w:val="006757E5"/>
    <w:rsid w:val="006E74A3"/>
    <w:rsid w:val="007E0DCE"/>
    <w:rsid w:val="00851D78"/>
    <w:rsid w:val="008D53BF"/>
    <w:rsid w:val="008F5A0F"/>
    <w:rsid w:val="00BB0B4F"/>
    <w:rsid w:val="00BC5D9F"/>
    <w:rsid w:val="00C847BB"/>
    <w:rsid w:val="00CE3939"/>
    <w:rsid w:val="00E255A6"/>
    <w:rsid w:val="00E7361B"/>
    <w:rsid w:val="00EA3DE2"/>
    <w:rsid w:val="00EB030E"/>
    <w:rsid w:val="00ED0E9D"/>
    <w:rsid w:val="00F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CE"/>
    <w:pPr>
      <w:ind w:left="720"/>
      <w:contextualSpacing/>
    </w:pPr>
  </w:style>
  <w:style w:type="paragraph" w:styleId="a4">
    <w:name w:val="No Spacing"/>
    <w:uiPriority w:val="1"/>
    <w:qFormat/>
    <w:rsid w:val="00E73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CE"/>
    <w:pPr>
      <w:ind w:left="720"/>
      <w:contextualSpacing/>
    </w:pPr>
  </w:style>
  <w:style w:type="paragraph" w:styleId="a4">
    <w:name w:val="No Spacing"/>
    <w:uiPriority w:val="1"/>
    <w:qFormat/>
    <w:rsid w:val="00E73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38EA-0321-4B41-BC12-6692F4A4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управдом Дз.района Ярославль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Лузинова</dc:creator>
  <cp:keywords/>
  <dc:description/>
  <cp:lastModifiedBy>Елена Васильевна Лузинова</cp:lastModifiedBy>
  <cp:revision>12</cp:revision>
  <cp:lastPrinted>2011-05-06T05:57:00Z</cp:lastPrinted>
  <dcterms:created xsi:type="dcterms:W3CDTF">2011-03-30T08:06:00Z</dcterms:created>
  <dcterms:modified xsi:type="dcterms:W3CDTF">2011-05-06T05:58:00Z</dcterms:modified>
</cp:coreProperties>
</file>